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4D2D9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Art. 2357.</w:t>
      </w:r>
    </w:p>
    <w:p w14:paraId="6A498C7F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229FD0C9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(Acquisto delle proprie azioni).</w:t>
      </w:r>
    </w:p>
    <w:p w14:paraId="68197107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33121AB8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La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non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puo'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acquistare azioni proprie se non nei limiti degli utili distribuibili e delle riserve disponibili risultanti dall'ultimo bilancio regolarmente approvato. Possono essere acquistate soltanto azioni interamente liberate.</w:t>
      </w:r>
    </w:p>
    <w:p w14:paraId="5897E460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5621276B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L'acquisto deve essere autorizzato dall'assemblea, la quale ne fissa le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modalita'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, indicando in particolare il numero massimo di azioni da acquistare, la durata, non superiore ai diciotto mesi, per la quale l'autorizzazione </w:t>
      </w:r>
      <w:proofErr w:type="spellStart"/>
      <w:proofErr w:type="gram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accordata, il corrispettivo minimo ed il corrispettivo massimo.</w:t>
      </w:r>
    </w:p>
    <w:p w14:paraId="50F206F7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70021C6D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((Il valore nominale delle azioni acquistate a norma del primo e secondo comma dalle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che fanno ricorso al mercato del capitale di rischio non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puo'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eccedere la quinta parte del capitale sociale, tenendosi conto a tal fine anche delle azioni possedute da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controllate.))</w:t>
      </w:r>
    </w:p>
    <w:p w14:paraId="1C09749D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31CB7DFB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Le azioni acquistate in violazione dei commi precedenti debbono essere alienate secondo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modalita'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da determinarsi dall'assemblea, entro un anno dal loro acquisto. In mancanza, deve procedersi senza indugio al loro annullamento e alla corrispondente riduzione del capitale. Qualora l'assemblea non provveda, gli amministratori e i sindaci devono chiedere che la riduzione sia disposta dal tribunale secondo il procedimento previsto dall'articolo 2446, secondo comma.</w:t>
      </w:r>
    </w:p>
    <w:p w14:paraId="66ACE2F1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118B32D0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Le disposizioni del presente articolo si applicano anche agli acquisti fatti per tramite di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fiduciaria o per interposta persona.</w:t>
      </w:r>
    </w:p>
    <w:p w14:paraId="24290153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lastRenderedPageBreak/>
        <w:t>Art. 2357-bis.</w:t>
      </w:r>
    </w:p>
    <w:p w14:paraId="542483A0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17DA6CFD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(Casi speciali di acquisto delle proprie azioni).</w:t>
      </w:r>
    </w:p>
    <w:p w14:paraId="3193F3E9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14010EDC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Le limitazioni contenute nell'articolo 2357 non si applicano quando l'acquisto di azioni proprie avvenga:</w:t>
      </w:r>
    </w:p>
    <w:p w14:paraId="07A3BFE7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1) in esecuzione di una deliberazione dell'assemblea di riduzione del capitale, da attuarsi mediante riscatto e annullamento di azioni;</w:t>
      </w:r>
    </w:p>
    <w:p w14:paraId="3005BA50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2) a titolo gratuito, sempre che si tratti di azioni interamente liberate;</w:t>
      </w:r>
    </w:p>
    <w:p w14:paraId="66C96E25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3) per effetto di successione universale o di fusione o scissione;</w:t>
      </w:r>
    </w:p>
    <w:p w14:paraId="58936E89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4) in occasione di esecuzione forzata per il soddisfacimento di un credito della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, sempre che si tratti di azioni interamente liberate.</w:t>
      </w:r>
    </w:p>
    <w:p w14:paraId="2B046998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6353AE4E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((Se il valore nominale delle azioni proprie supera il limite della quinta parte del capitale per effetto di acquisti avvenuti a norma dei numeri 2), 3) e 4) del primo comma del presente articolo, si applica per l'eccedenza il penultimo comma dell'articolo 2357, ma il termine entro il quale deve avvenire l'alienazione </w:t>
      </w:r>
      <w:proofErr w:type="spellStart"/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di tre anni))</w:t>
      </w: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.</w:t>
      </w:r>
    </w:p>
    <w:p w14:paraId="1C52C81F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Art. 2357-ter.</w:t>
      </w:r>
    </w:p>
    <w:p w14:paraId="2ED40250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1669819E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(Disciplina delle proprie azioni).</w:t>
      </w:r>
    </w:p>
    <w:p w14:paraId="689E59F8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1DEE7B8D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Gli amministratori non possono disporre delle azioni acquistate a norma dei due articoli precedenti se non previa autorizzazione dell'assemblea, la quale deve stabilire le relative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modalita'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. A tal fine possono essere previste, nei limiti stabiliti dal primo e secondo comma dell'articolo 2357, operazioni successive di acquisto ed alienazione.</w:t>
      </w:r>
    </w:p>
    <w:p w14:paraId="61069EBF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lastRenderedPageBreak/>
        <w:br/>
      </w:r>
    </w:p>
    <w:p w14:paraId="5604ED03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Finche' le azioni restano in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proprieta'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della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, il diritto agli utili e il diritto di opzione sono attribuiti proporzionalmente alle altre azioni. Il diritto di voto </w:t>
      </w:r>
      <w:proofErr w:type="spellStart"/>
      <w:proofErr w:type="gram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sospeso, ma le azioni proprie sono tuttavia computate ai fini del calcolo delle maggioranze e delle quote richieste per la costituzione e per le deliberazioni dell'assemblea. Nelle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che fanno ricorso al mercato del capitale di rischio il computo delle azioni proprie </w:t>
      </w:r>
      <w:proofErr w:type="spellStart"/>
      <w:proofErr w:type="gram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disciplinato dall'articolo 2368, terzo comma.</w:t>
      </w:r>
    </w:p>
    <w:p w14:paraId="16056DF3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6957BF4B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((L'acquisto di azioni proprie comporta una riduzione del patrimonio netto di eguale importo, tramite l'iscrizione nel passivo del bilancio di una specifica voce, con segno negativo.))</w:t>
      </w: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 </w:t>
      </w: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((246))</w:t>
      </w:r>
    </w:p>
    <w:p w14:paraId="66528D0A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07F9AEF3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------------</w:t>
      </w:r>
    </w:p>
    <w:p w14:paraId="10B94C7D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AGGIORNAMENTO (246)</w:t>
      </w:r>
    </w:p>
    <w:p w14:paraId="2FB81155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Il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D.Lgs.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18 agosto 2015, n. 139, ha disposto (con l'art. 12, comma 1) che la presente modifica si applica ai bilanci relativi agli esercizi finanziari aventi inizio a partire dal </w:t>
      </w:r>
      <w:proofErr w:type="gram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1 gennaio</w:t>
      </w:r>
      <w:proofErr w:type="gram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2016.</w:t>
      </w:r>
    </w:p>
    <w:p w14:paraId="437DAD04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Art. 2357-quater.</w:t>
      </w:r>
    </w:p>
    <w:p w14:paraId="476342B4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4602BB79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(Divieto di sottoscrizione delle proprie azioni).</w:t>
      </w:r>
    </w:p>
    <w:p w14:paraId="71DEE0C1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0E61371D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Salvo quanto previsto dall'articolo 2357-ter, </w:t>
      </w: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((secondo comma))</w:t>
      </w: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, la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non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puo'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sottoscrivere azioni proprie.</w:t>
      </w:r>
    </w:p>
    <w:p w14:paraId="428C15B2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1329366B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Le azioni sottoscritte in violazione del divieto stabilito nel precedente comma si intendono sottoscritte e devono essere liberate dai promotori e dai soci fondatori o, in caso di aumento del capitale sociale, dagli amministratori. La </w:t>
      </w: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lastRenderedPageBreak/>
        <w:t>presente disposizione non si applica a chi dimostri di essere esente da colpa.</w:t>
      </w:r>
    </w:p>
    <w:p w14:paraId="2F1957CD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7A4A1E66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Chiunque abbia sottoscritto in nome proprio, ma per conto della </w:t>
      </w:r>
      <w:proofErr w:type="spell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, azioni di quest'ultima </w:t>
      </w:r>
      <w:proofErr w:type="spellStart"/>
      <w:proofErr w:type="gramStart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 xml:space="preserve"> considerato a tutti gli effetti sottoscrittore per conto proprio. Della liberazione delle azioni rispondono solidalmente, a meno che dimostrino di essere esenti da colpa, i promotori, i soci fondatori e, nel caso di aumento del capitale sociale, gli amministratori.</w:t>
      </w:r>
    </w:p>
    <w:p w14:paraId="087D2179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t>Art. 2358.</w:t>
      </w:r>
    </w:p>
    <w:p w14:paraId="4379E085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35A725AF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(( Altre</w:t>
      </w:r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operazioni sulle proprie azioni ))</w:t>
      </w:r>
    </w:p>
    <w:p w14:paraId="685D7C78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  <w:br/>
      </w:r>
    </w:p>
    <w:p w14:paraId="657CF5E3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((La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non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puo'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, direttamente o indirettamente, accordare prestiti, </w:t>
      </w:r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ne'</w:t>
      </w:r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fornire garanzie per l'acquisto o la sottoscrizione delle proprie azioni, se non alle condizioni previste dal presente articolo.</w:t>
      </w:r>
    </w:p>
    <w:p w14:paraId="05F1EDB2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br/>
      </w:r>
    </w:p>
    <w:p w14:paraId="2D386C2E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Tali operazioni sono preventivamente autorizzate dall'assemblea straordinaria.</w:t>
      </w:r>
    </w:p>
    <w:p w14:paraId="689AE21F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br/>
      </w:r>
    </w:p>
    <w:p w14:paraId="18E1AF0F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Gli amministratori della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predispongono una relazione che illustri, sotto il profilo giuridico ed economico, l'operazione, descrivendone le condizioni, evidenziando le ragioni e gli obiettivi imprenditoriali che la giustificano, lo specifico interesse che l'operazione presenta per 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, i rischi che essa comporta per 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liquidita'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e 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solvibilita'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della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ed indicando il prezzo al quale il terzo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acquisira'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le azioni. Nella relazione gli amministratori attestano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altresi'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che l'operazione ha luogo a condizioni di mercato, in particolare per quanto riguarda le garanzie prestate e il tasso di interesse praticato per il rimborso del finanziamento, e che il merito di credito della controparte </w:t>
      </w:r>
      <w:proofErr w:type="spellStart"/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stato debitamente valutato. La relazione </w:t>
      </w:r>
      <w:proofErr w:type="spellStart"/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depositata presso la sede della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lastRenderedPageBreak/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durante i trenta giorni che precedono l'assemblea. Il verbale dell'assemblea, corredato dalla relazione degli amministratori, </w:t>
      </w:r>
      <w:proofErr w:type="spellStart"/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depositato entro trenta giorni per l'iscrizione nel registro delle imprese.</w:t>
      </w:r>
    </w:p>
    <w:p w14:paraId="2505863A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br/>
      </w:r>
    </w:p>
    <w:p w14:paraId="5FFB2640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In deroga all'articolo 2357-ter, quando le somme o le garanzie fornite ai sensi del presente articolo sono utilizzate per l'acquisto di azioni detenute dalla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ai sensi dell'articolo 2357 e 2357-bis l'assemblea straordinaria autorizza gli amministratori a disporre di tali azioni con la delibera di cui al secondo comma. Il prezzo di acquisto delle azioni </w:t>
      </w:r>
      <w:proofErr w:type="spellStart"/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determinato secondo i criteri di cui all'articolo 2437-ter, secondo comma. Nel caso di azioni negoziate in un mercato regolamentato il prezzo di acquisto </w:t>
      </w:r>
      <w:proofErr w:type="spellStart"/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pari almeno al prezzo medio ponderato al quale le azioni sono state negoziate nei sei mesi che precedono la pubblicazione dell'avviso di convocazione dell'assemblea.</w:t>
      </w:r>
    </w:p>
    <w:p w14:paraId="40F75485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br/>
      </w:r>
    </w:p>
    <w:p w14:paraId="6B72420A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Qualora 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accordi prestiti o fornisca garanzie per l'acquisto o la sottoscrizione delle azioni proprie a singoli amministratori della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o della controllante o alla stessa controllante ovvero a terzi che agiscono in nome proprio e per conto dei predetti soggetti, la relazione di cui al terzo comma attesta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altresi'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che l'operazione realizza al meglio l'interesse della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.</w:t>
      </w:r>
    </w:p>
    <w:p w14:paraId="195C5DAA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br/>
      </w:r>
    </w:p>
    <w:p w14:paraId="0782091F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L'importo complessivo delle somme impiegate e delle garanzie fornite ai sensi del presente articolo non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puo'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eccedere il limite degli utili distribuibili e delle riserve disponibili risultanti dall'ultimo bilancio regolarmente approvato, tenuto conto anche dell'eventuale acquisto di proprie azioni ai sensi dell'articolo 2357. Una riserva indisponibile pari all'importo complessivo delle somme impiegate e delle garanzie fornite </w:t>
      </w:r>
      <w:proofErr w:type="spellStart"/>
      <w:proofErr w:type="gram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e'</w:t>
      </w:r>
      <w:proofErr w:type="spellEnd"/>
      <w:proofErr w:type="gram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iscritta al passivo del bilancio.</w:t>
      </w:r>
    </w:p>
    <w:p w14:paraId="22A48CE1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br/>
      </w:r>
    </w:p>
    <w:p w14:paraId="1DBD6A6F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non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puo'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, neppure per tramite di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fiduciaria, o per interposta persona, accettare azioni proprie in garanzia.</w:t>
      </w:r>
    </w:p>
    <w:p w14:paraId="06A8DDDF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lastRenderedPageBreak/>
        <w:br/>
      </w:r>
    </w:p>
    <w:p w14:paraId="17547AAC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Salvo quanto previsto dal comma sesto, le disposizioni del presente articolo non si applicano alle operazioni effettuate per favorire l'acquisto di azioni da parte di dipendenti della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o di quelli di </w:t>
      </w:r>
      <w:proofErr w:type="spellStart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societa'</w:t>
      </w:r>
      <w:proofErr w:type="spellEnd"/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 xml:space="preserve"> controllanti o controllate.</w:t>
      </w:r>
    </w:p>
    <w:p w14:paraId="1EF2D6FA" w14:textId="77777777" w:rsidR="00A3795C" w:rsidRPr="00A3795C" w:rsidRDefault="00A3795C" w:rsidP="00A3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br/>
      </w:r>
    </w:p>
    <w:p w14:paraId="652DFB07" w14:textId="77777777" w:rsidR="00A3795C" w:rsidRPr="00A3795C" w:rsidRDefault="00A3795C" w:rsidP="00A3795C">
      <w:pPr>
        <w:spacing w:after="100" w:afterAutospacing="1" w:line="240" w:lineRule="auto"/>
        <w:jc w:val="both"/>
        <w:rPr>
          <w:rFonts w:ascii="Courier New" w:eastAsia="Times New Roman" w:hAnsi="Courier New" w:cs="Courier New"/>
          <w:color w:val="19191A"/>
          <w:sz w:val="27"/>
          <w:szCs w:val="27"/>
          <w:lang w:eastAsia="it-IT"/>
        </w:rPr>
      </w:pPr>
      <w:r w:rsidRPr="00A3795C">
        <w:rPr>
          <w:rFonts w:ascii="Courier New" w:eastAsia="Times New Roman" w:hAnsi="Courier New" w:cs="Courier New"/>
          <w:b/>
          <w:bCs/>
          <w:i/>
          <w:iCs/>
          <w:color w:val="19191A"/>
          <w:sz w:val="27"/>
          <w:szCs w:val="27"/>
          <w:lang w:eastAsia="it-IT"/>
        </w:rPr>
        <w:t>Resta salvo quanto previsto dagli articoli 2391-bis e 2501-bis.))</w:t>
      </w:r>
    </w:p>
    <w:p w14:paraId="1DC82198" w14:textId="77777777" w:rsidR="00FC1010" w:rsidRDefault="00FC1010" w:rsidP="00A3795C">
      <w:pPr>
        <w:jc w:val="both"/>
      </w:pPr>
    </w:p>
    <w:sectPr w:rsidR="00FC10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95C"/>
    <w:rsid w:val="00491A04"/>
    <w:rsid w:val="0063680D"/>
    <w:rsid w:val="00711AED"/>
    <w:rsid w:val="00A3795C"/>
    <w:rsid w:val="00FC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F36BF"/>
  <w15:chartTrackingRefBased/>
  <w15:docId w15:val="{E5F57F9A-9A57-4AFC-B252-F217149F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teapidipagina">
    <w:name w:val="Note a piè di pagina"/>
    <w:basedOn w:val="Testonotaapidipagina"/>
    <w:link w:val="NoteapidipaginaCarattere"/>
    <w:autoRedefine/>
    <w:qFormat/>
    <w:rsid w:val="00711AED"/>
    <w:pPr>
      <w:jc w:val="both"/>
    </w:pPr>
  </w:style>
  <w:style w:type="character" w:customStyle="1" w:styleId="NoteapidipaginaCarattere">
    <w:name w:val="Note a piè di pagina Carattere"/>
    <w:basedOn w:val="TestonotaapidipaginaCarattere"/>
    <w:link w:val="Noteapidipagina"/>
    <w:rsid w:val="00711AED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680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80D"/>
    <w:rPr>
      <w:sz w:val="20"/>
      <w:szCs w:val="20"/>
    </w:rPr>
  </w:style>
  <w:style w:type="paragraph" w:customStyle="1" w:styleId="notepidipagina">
    <w:name w:val="note piè di pagina"/>
    <w:basedOn w:val="Testonotaapidipagina"/>
    <w:autoRedefine/>
    <w:qFormat/>
    <w:rsid w:val="00491A04"/>
    <w:pPr>
      <w:jc w:val="both"/>
    </w:pPr>
  </w:style>
  <w:style w:type="paragraph" w:styleId="NormaleWeb">
    <w:name w:val="Normal (Web)"/>
    <w:basedOn w:val="Normale"/>
    <w:uiPriority w:val="99"/>
    <w:semiHidden/>
    <w:unhideWhenUsed/>
    <w:rsid w:val="00A3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379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7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1191</Words>
  <Characters>6790</Characters>
  <Application>Microsoft Office Word</Application>
  <DocSecurity>0</DocSecurity>
  <Lines>56</Lines>
  <Paragraphs>15</Paragraphs>
  <ScaleCrop>false</ScaleCrop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giulia@gabassi.it</dc:creator>
  <cp:keywords/>
  <dc:description/>
  <cp:lastModifiedBy>giulia@gabassi.it</cp:lastModifiedBy>
  <cp:revision>1</cp:revision>
  <dcterms:created xsi:type="dcterms:W3CDTF">2020-12-04T16:11:00Z</dcterms:created>
  <dcterms:modified xsi:type="dcterms:W3CDTF">2020-12-04T16:12:00Z</dcterms:modified>
</cp:coreProperties>
</file>